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96F0" w14:textId="5C7183BE" w:rsidR="00613357" w:rsidRDefault="00F21E2C">
      <w:r>
        <w:rPr>
          <w:rStyle w:val="NoneA"/>
          <w:noProof/>
        </w:rPr>
        <w:drawing>
          <wp:anchor distT="152400" distB="152400" distL="152400" distR="152400" simplePos="0" relativeHeight="251659264" behindDoc="0" locked="0" layoutInCell="1" allowOverlap="1" wp14:anchorId="0E8CB727" wp14:editId="3BFFB939">
            <wp:simplePos x="0" y="0"/>
            <wp:positionH relativeFrom="page">
              <wp:posOffset>872490</wp:posOffset>
            </wp:positionH>
            <wp:positionV relativeFrom="line">
              <wp:posOffset>-601345</wp:posOffset>
            </wp:positionV>
            <wp:extent cx="1637130" cy="553447"/>
            <wp:effectExtent l="0" t="0" r="0" b="0"/>
            <wp:wrapTopAndBottom distT="152400" distB="15240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7130" cy="553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1E7866" wp14:editId="087F1B97">
                <wp:simplePos x="0" y="0"/>
                <wp:positionH relativeFrom="page">
                  <wp:posOffset>3778248</wp:posOffset>
                </wp:positionH>
                <wp:positionV relativeFrom="page">
                  <wp:posOffset>1003160</wp:posOffset>
                </wp:positionV>
                <wp:extent cx="2882663" cy="80820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63" cy="80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6693F4" w14:textId="77777777" w:rsidR="00613357" w:rsidRDefault="00F21E2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Hilda Coulsey</w:t>
                            </w:r>
                          </w:p>
                          <w:p w14:paraId="4046E171" w14:textId="77EF87DD" w:rsidR="00613357" w:rsidRDefault="00F21E2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Date: 6th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February 2021</w:t>
                            </w:r>
                          </w:p>
                          <w:p w14:paraId="7A4371CE" w14:textId="77777777" w:rsidR="00613357" w:rsidRDefault="00F21E2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 in 2024 or when new UK Athletics guidance is issued.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E786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97.5pt;margin-top:79pt;width:227pt;height:63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" filled="f" strokeweight="1pt">
                <v:stroke miterlimit="4"/>
                <v:textbox inset="0,0,0,0">
                  <w:txbxContent>
                    <w:p w14:paraId="7E6693F4" w14:textId="77777777" w:rsidR="00613357" w:rsidRDefault="00F21E2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Reviewed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by: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Hilda Coulsey</w:t>
                      </w:r>
                    </w:p>
                    <w:p w14:paraId="4046E171" w14:textId="77EF87DD" w:rsidR="00613357" w:rsidRDefault="00F21E2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Date: 6th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February 2021</w:t>
                      </w:r>
                    </w:p>
                    <w:p w14:paraId="7A4371CE" w14:textId="77777777" w:rsidR="00613357" w:rsidRDefault="00F21E2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 in 2024 or when new UK Athletics guidance is issued.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77E7B62" w14:textId="77777777" w:rsidR="00613357" w:rsidRDefault="00F21E2C">
      <w:pPr>
        <w:rPr>
          <w:rFonts w:ascii="Arial" w:eastAsia="Arial" w:hAnsi="Arial" w:cs="Arial"/>
          <w:b/>
          <w:bCs/>
          <w:color w:val="231F20"/>
          <w:u w:color="231F20"/>
        </w:rPr>
      </w:pPr>
      <w:r>
        <w:rPr>
          <w:rFonts w:ascii="Arial" w:hAnsi="Arial"/>
          <w:b/>
          <w:bCs/>
          <w:color w:val="231F20"/>
          <w:u w:color="231F20"/>
        </w:rPr>
        <w:t>Ilkley Harriers Emergency Incidents and Contact Policy</w:t>
      </w:r>
    </w:p>
    <w:p w14:paraId="4A5044BB" w14:textId="77777777" w:rsidR="00613357" w:rsidRDefault="00613357">
      <w:pPr>
        <w:rPr>
          <w:rFonts w:ascii="Arial" w:eastAsia="Arial" w:hAnsi="Arial" w:cs="Arial"/>
          <w:b/>
          <w:bCs/>
          <w:color w:val="231F20"/>
          <w:u w:color="231F20"/>
        </w:rPr>
      </w:pPr>
    </w:p>
    <w:p w14:paraId="04698398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In all potential emergency incidents occurring during official Ilkley Harriers activities members should:</w:t>
      </w:r>
    </w:p>
    <w:p w14:paraId="5EEA0089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522368F3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Stay calm, assess the situation and the potential for further injuries and make the location safe if possible.  Do not move someone with major injuri</w:t>
      </w:r>
      <w:r>
        <w:rPr>
          <w:rFonts w:ascii="Arial" w:hAnsi="Arial"/>
          <w:color w:val="231F20"/>
          <w:u w:color="231F20"/>
        </w:rPr>
        <w:t>es, await specialist advice.</w:t>
      </w:r>
    </w:p>
    <w:p w14:paraId="337E22AC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0904E5A6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Listen to what the injured or unwell person is saying.</w:t>
      </w:r>
    </w:p>
    <w:p w14:paraId="1BEAB785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168F3539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Alert a person with first aid training, if available within the group, who should take appropriate action for minor cases.</w:t>
      </w:r>
    </w:p>
    <w:p w14:paraId="0EF97F43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1493DF9F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In the event of an injury or situation requiri</w:t>
      </w:r>
      <w:r>
        <w:rPr>
          <w:rFonts w:ascii="Arial" w:hAnsi="Arial"/>
          <w:color w:val="231F20"/>
          <w:u w:color="231F20"/>
        </w:rPr>
        <w:t xml:space="preserve">ng specialist treatment, call the emergency services.  Stay with the injured person or allocate someone appropriate to do that until they arrive. </w:t>
      </w:r>
    </w:p>
    <w:p w14:paraId="07F685AC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1772BFB9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 xml:space="preserve">Deal with the rest of the group and ensure they are adequately supervised. </w:t>
      </w:r>
    </w:p>
    <w:p w14:paraId="2831E471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51244634" w14:textId="77777777" w:rsidR="00F21E2C" w:rsidRDefault="00F21E2C">
      <w:pPr>
        <w:rPr>
          <w:rFonts w:ascii="Arial" w:hAnsi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Contact the injured or unwell p</w:t>
      </w:r>
      <w:r>
        <w:rPr>
          <w:rFonts w:ascii="Arial" w:hAnsi="Arial"/>
          <w:color w:val="231F20"/>
          <w:u w:color="231F20"/>
        </w:rPr>
        <w:t>erson</w:t>
      </w:r>
      <w:r>
        <w:rPr>
          <w:rFonts w:ascii="Arial" w:hAnsi="Arial"/>
          <w:color w:val="231F20"/>
          <w:u w:color="231F20"/>
        </w:rPr>
        <w:t>’</w:t>
      </w:r>
      <w:r>
        <w:rPr>
          <w:rFonts w:ascii="Arial" w:hAnsi="Arial"/>
          <w:color w:val="231F20"/>
          <w:u w:color="231F20"/>
        </w:rPr>
        <w:t xml:space="preserve">s emergency contact. </w:t>
      </w:r>
    </w:p>
    <w:p w14:paraId="1D157A6D" w14:textId="6B770C6B" w:rsidR="00613357" w:rsidRPr="00F21E2C" w:rsidRDefault="00F21E2C">
      <w:pPr>
        <w:rPr>
          <w:rFonts w:ascii="Arial" w:hAnsi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 xml:space="preserve">If this is not known contact the welfare officer* </w:t>
      </w:r>
      <w:hyperlink r:id="rId7" w:history="1">
        <w:r w:rsidRPr="00543AB3">
          <w:rPr>
            <w:rStyle w:val="Hyperlink"/>
            <w:rFonts w:ascii="Arial" w:hAnsi="Arial"/>
          </w:rPr>
          <w:t>welfare@ilkleyharriers.org.uk</w:t>
        </w:r>
      </w:hyperlink>
      <w:r>
        <w:rPr>
          <w:rFonts w:ascii="Arial" w:hAnsi="Arial"/>
          <w:color w:val="231F20"/>
          <w:u w:color="231F20"/>
        </w:rPr>
        <w:t xml:space="preserve">  </w:t>
      </w:r>
      <w:r>
        <w:rPr>
          <w:rFonts w:ascii="Arial" w:hAnsi="Arial"/>
          <w:color w:val="231F20"/>
          <w:u w:color="231F20"/>
        </w:rPr>
        <w:t xml:space="preserve">or membership secretary </w:t>
      </w:r>
      <w:hyperlink r:id="rId8" w:history="1">
        <w:r>
          <w:rPr>
            <w:rStyle w:val="Hyperlink0"/>
          </w:rPr>
          <w:t>mship@ilkleyharriers.org.uk</w:t>
        </w:r>
      </w:hyperlink>
      <w:r>
        <w:rPr>
          <w:rFonts w:ascii="Arial" w:hAnsi="Arial"/>
          <w:color w:val="231F20"/>
          <w:u w:color="231F20"/>
        </w:rPr>
        <w:t>.</w:t>
      </w:r>
    </w:p>
    <w:p w14:paraId="5C0663FD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7C36CA2E" w14:textId="422BBB6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 xml:space="preserve">When actions are complete, complete </w:t>
      </w:r>
      <w:hyperlink r:id="rId9" w:history="1">
        <w:r w:rsidRPr="00F21E2C">
          <w:rPr>
            <w:rStyle w:val="Hyperlink"/>
            <w:rFonts w:ascii="Arial" w:hAnsi="Arial"/>
          </w:rPr>
          <w:t>the incident form</w:t>
        </w:r>
      </w:hyperlink>
      <w:r>
        <w:rPr>
          <w:rFonts w:ascii="Arial" w:hAnsi="Arial"/>
          <w:color w:val="231F20"/>
          <w:u w:color="231F20"/>
        </w:rPr>
        <w:t xml:space="preserve"> and return to the welfare officer. The welfare officer* can investigate and advise potential remediating actions for future activities. </w:t>
      </w:r>
    </w:p>
    <w:p w14:paraId="5CF74EC7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1696231A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 xml:space="preserve">If the incident occurs during a race, the race </w:t>
      </w:r>
      <w:proofErr w:type="spellStart"/>
      <w:r>
        <w:rPr>
          <w:rFonts w:ascii="Arial" w:hAnsi="Arial"/>
          <w:color w:val="231F20"/>
          <w:u w:color="231F20"/>
        </w:rPr>
        <w:t>organiser</w:t>
      </w:r>
      <w:proofErr w:type="spellEnd"/>
      <w:r>
        <w:rPr>
          <w:rFonts w:ascii="Arial" w:hAnsi="Arial"/>
          <w:color w:val="231F20"/>
          <w:u w:color="231F20"/>
        </w:rPr>
        <w:t xml:space="preserve"> must be</w:t>
      </w:r>
      <w:r>
        <w:rPr>
          <w:rFonts w:ascii="Arial" w:hAnsi="Arial"/>
          <w:color w:val="231F20"/>
          <w:u w:color="231F20"/>
        </w:rPr>
        <w:t xml:space="preserve"> informed, possibly via the nearest marshal, who will take the appropriate action.</w:t>
      </w:r>
    </w:p>
    <w:p w14:paraId="18CD6B1F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1B935377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>Members are advised to take a phone with them or an identification bracelet or necklace with their emergency contact detail. Members should also be aware that in exceptiona</w:t>
      </w:r>
      <w:r>
        <w:rPr>
          <w:rFonts w:ascii="Arial" w:hAnsi="Arial"/>
          <w:color w:val="231F20"/>
          <w:u w:color="231F20"/>
        </w:rPr>
        <w:t xml:space="preserve">l circumstances their record in our membership database will be accessed to obtain this information.  Members should therefore ensure their data is up to date. </w:t>
      </w:r>
    </w:p>
    <w:p w14:paraId="7DF5AF7A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5559E4D0" w14:textId="77777777" w:rsidR="00613357" w:rsidRDefault="00F21E2C">
      <w:pPr>
        <w:rPr>
          <w:rFonts w:ascii="Arial" w:eastAsia="Arial" w:hAnsi="Arial" w:cs="Arial"/>
          <w:color w:val="231F20"/>
          <w:u w:color="231F20"/>
        </w:rPr>
      </w:pPr>
      <w:r>
        <w:rPr>
          <w:rFonts w:ascii="Arial" w:hAnsi="Arial"/>
          <w:color w:val="231F20"/>
          <w:u w:color="231F20"/>
        </w:rPr>
        <w:t xml:space="preserve">Additionally, members are advised to be aware of whether the run or activity they are </w:t>
      </w:r>
      <w:r>
        <w:rPr>
          <w:rFonts w:ascii="Arial" w:hAnsi="Arial"/>
          <w:color w:val="231F20"/>
          <w:u w:color="231F20"/>
        </w:rPr>
        <w:t>undertaking is an official Ilkley Harriers event.  The club</w:t>
      </w:r>
      <w:r>
        <w:rPr>
          <w:rFonts w:ascii="Arial" w:hAnsi="Arial"/>
          <w:color w:val="231F20"/>
          <w:u w:color="231F20"/>
        </w:rPr>
        <w:t>’</w:t>
      </w:r>
      <w:r>
        <w:rPr>
          <w:rFonts w:ascii="Arial" w:hAnsi="Arial"/>
          <w:color w:val="231F20"/>
          <w:u w:color="231F20"/>
        </w:rPr>
        <w:t xml:space="preserve">s England Athletics insurance policy only applies to these designated activities which appear on the Training page of our website. </w:t>
      </w:r>
    </w:p>
    <w:p w14:paraId="74ABE563" w14:textId="77777777" w:rsidR="00613357" w:rsidRDefault="00613357">
      <w:pPr>
        <w:rPr>
          <w:rFonts w:ascii="Arial" w:eastAsia="Arial" w:hAnsi="Arial" w:cs="Arial"/>
          <w:color w:val="231F20"/>
          <w:u w:color="231F20"/>
        </w:rPr>
      </w:pPr>
    </w:p>
    <w:p w14:paraId="018C0167" w14:textId="77777777" w:rsidR="00613357" w:rsidRDefault="00F21E2C">
      <w:r>
        <w:rPr>
          <w:rFonts w:ascii="Arial" w:hAnsi="Arial"/>
          <w:color w:val="231F20"/>
          <w:u w:color="231F20"/>
        </w:rPr>
        <w:t>*</w:t>
      </w:r>
      <w:hyperlink r:id="rId10" w:history="1">
        <w:r>
          <w:rPr>
            <w:rStyle w:val="Hyperlink1"/>
          </w:rPr>
          <w:t>welfare@ilkle</w:t>
        </w:r>
        <w:r>
          <w:rPr>
            <w:rStyle w:val="Hyperlink1"/>
          </w:rPr>
          <w:t>yharriers.org.uk</w:t>
        </w:r>
      </w:hyperlink>
    </w:p>
    <w:sectPr w:rsidR="00613357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825B" w14:textId="77777777" w:rsidR="00000000" w:rsidRDefault="00F21E2C">
      <w:r>
        <w:separator/>
      </w:r>
    </w:p>
  </w:endnote>
  <w:endnote w:type="continuationSeparator" w:id="0">
    <w:p w14:paraId="4D6743F0" w14:textId="77777777" w:rsidR="00000000" w:rsidRDefault="00F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AB5" w14:textId="77777777" w:rsidR="00613357" w:rsidRDefault="006133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4DCB" w14:textId="77777777" w:rsidR="00000000" w:rsidRDefault="00F21E2C">
      <w:r>
        <w:separator/>
      </w:r>
    </w:p>
  </w:footnote>
  <w:footnote w:type="continuationSeparator" w:id="0">
    <w:p w14:paraId="0BA36532" w14:textId="77777777" w:rsidR="00000000" w:rsidRDefault="00F2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114" w14:textId="77777777" w:rsidR="00613357" w:rsidRDefault="006133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57"/>
    <w:rsid w:val="00613357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B6BB"/>
  <w15:docId w15:val="{6B6F1561-581D-41FC-B15B-2ACE9A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F2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ip@ilkleyharrier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fare@ilkleyharriers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elfare@ilkleyharrier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incident%20report%20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Egan</cp:lastModifiedBy>
  <cp:revision>2</cp:revision>
  <dcterms:created xsi:type="dcterms:W3CDTF">2021-02-06T15:30:00Z</dcterms:created>
  <dcterms:modified xsi:type="dcterms:W3CDTF">2021-02-06T15:30:00Z</dcterms:modified>
</cp:coreProperties>
</file>